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2" w:rsidRPr="00670E02" w:rsidRDefault="00670E02" w:rsidP="00670E02">
      <w:pPr>
        <w:spacing w:before="90" w:after="90" w:line="240" w:lineRule="auto"/>
        <w:ind w:left="709" w:right="9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0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70E02" w:rsidRPr="00670E02" w:rsidRDefault="00670E02" w:rsidP="00670E02">
      <w:pPr>
        <w:spacing w:after="0" w:line="276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b/>
          <w:szCs w:val="15"/>
          <w:lang w:eastAsia="ru-RU"/>
        </w:rPr>
      </w:pPr>
      <w:hyperlink r:id="rId4" w:anchor="utm_campaign=fd&amp;utm_source=consultant&amp;utm_medium=email&amp;utm_content=body" w:tgtFrame="_blank" w:history="1">
        <w:r w:rsidRPr="00670E02">
          <w:rPr>
            <w:rFonts w:ascii="Helvetica" w:eastAsia="Times New Roman" w:hAnsi="Helvetica" w:cs="Helvetica"/>
            <w:b/>
            <w:bCs/>
            <w:szCs w:val="15"/>
            <w:u w:val="single"/>
            <w:lang w:eastAsia="ru-RU"/>
          </w:rPr>
          <w:t>Федеральный закон от 07.06.2013 N 120-ФЗ</w:t>
        </w:r>
        <w:r w:rsidRPr="00670E02">
          <w:rPr>
            <w:rFonts w:ascii="Helvetica" w:eastAsia="Times New Roman" w:hAnsi="Helvetica" w:cs="Helvetica"/>
            <w:b/>
            <w:bCs/>
            <w:szCs w:val="15"/>
            <w:u w:val="single"/>
            <w:lang w:eastAsia="ru-RU"/>
          </w:rPr>
          <w:br/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670E02" w:rsidRPr="00670E02" w:rsidRDefault="00670E02" w:rsidP="00670E02">
      <w:pPr>
        <w:spacing w:before="90" w:after="90" w:line="240" w:lineRule="auto"/>
        <w:ind w:left="-567" w:right="90"/>
        <w:jc w:val="both"/>
        <w:rPr>
          <w:rFonts w:ascii="Helvetica" w:eastAsia="Times New Roman" w:hAnsi="Helvetica" w:cs="Helvetica"/>
          <w:szCs w:val="15"/>
          <w:lang w:eastAsia="ru-RU"/>
        </w:rPr>
      </w:pPr>
      <w:r w:rsidRPr="00670E02">
        <w:rPr>
          <w:rFonts w:ascii="Helvetica" w:eastAsia="Times New Roman" w:hAnsi="Helvetica" w:cs="Helvetica"/>
          <w:szCs w:val="15"/>
          <w:lang w:eastAsia="ru-RU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7 июня 2013 года N 120-ФЗ</w:t>
      </w:r>
      <w:r w:rsidRPr="00670E0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70E02" w:rsidRPr="00670E02" w:rsidRDefault="00670E02" w:rsidP="00670E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5"/>
          <w:szCs w:val="5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ФЕДЕРАЛЬНЫЙ ЗАКОН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ВНЕСЕНИИ ИЗМЕНЕНИЙ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 ОТДЕЛЬНЫЕ ЗАКОНОДАТЕЛЬНЫЕ АКТЫ РОССИЙСКОЙ ФЕДЕРАЦИИ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ВОПРОСАМ ПРОФИЛАКТИКИ НЕЗАКОННОГО ПОТРЕБЛЕНИЯ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НАРКОТИЧЕСКИХ СРЕДСТВ И ПСИХОТРОПНЫХ ВЕЩЕСТВ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15 мая 2013 года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Советом Федерации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29 мая 2013 года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1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2) в статье 4: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а) пункт 1 после слов "установление строгого контроля за оборотом наркотических средств, психотропных веществ и их прекурсоров," дополнить словами "раннее выявление незаконного потребления наркотических средств и психотропных веществ,";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б) в пункте 2: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абзац пятый изложить в следующей редакции: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дополнить абзацем следующего содержания: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3) дополнить главой VI.1 следующего содержания: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"Глава VI.1. ПРОФИЛАКТИКА НЕЗАКОННОГО ПОТРЕБЛЕНИЯ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70E0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НАРКОТИЧЕСКИХ СРЕДСТВ И ПСИХОТРОПНЫХ ВЕЩЕСТВ, НАРКОМАНИИ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федеральные органы исполнительной власти;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органы государственной власти субъектов Российской Федерации.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</w:t>
      </w:r>
      <w:r w:rsidRPr="00670E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53.4. Раннее выявление незаконного потребления наркотических средств и психотропных веществ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2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1) пункт 1 статьи 14 дополнить подпунктом 7 следующего содержания: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3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"21.3) организации профилактики незаконного потребления наркотических средств и психотропных веществ, наркомании;".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4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образования;".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Статья 5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В.ПУТИН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7 июня 2013 года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670E02">
        <w:rPr>
          <w:rFonts w:ascii="Arial" w:eastAsia="Times New Roman" w:hAnsi="Arial" w:cs="Arial"/>
          <w:sz w:val="20"/>
          <w:szCs w:val="20"/>
          <w:lang w:eastAsia="ru-RU"/>
        </w:rPr>
        <w:t>N 120-ФЗ</w:t>
      </w: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E02" w:rsidRPr="00670E02" w:rsidRDefault="00670E02" w:rsidP="00670E02">
      <w:pPr>
        <w:spacing w:after="0" w:line="276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02" w:rsidRPr="00670E02" w:rsidRDefault="00670E02" w:rsidP="00670E02">
      <w:pPr>
        <w:spacing w:after="0" w:line="276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CD" w:rsidRDefault="008F1DCD">
      <w:bookmarkStart w:id="0" w:name="_GoBack"/>
      <w:bookmarkEnd w:id="0"/>
    </w:p>
    <w:sectPr w:rsidR="008F1DCD" w:rsidSect="00FD6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670E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670E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670E0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670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670E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670E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670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02"/>
    <w:rsid w:val="00670E02"/>
    <w:rsid w:val="008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B4B9-F750-4363-98FC-83A2D198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E02"/>
  </w:style>
  <w:style w:type="paragraph" w:styleId="a5">
    <w:name w:val="footer"/>
    <w:basedOn w:val="a"/>
    <w:link w:val="a6"/>
    <w:uiPriority w:val="99"/>
    <w:semiHidden/>
    <w:unhideWhenUsed/>
    <w:rsid w:val="0067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consultant.ru/document/cons_doc_LAW_147230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2020-04-15T00:47:00Z</dcterms:created>
  <dcterms:modified xsi:type="dcterms:W3CDTF">2020-04-15T00:48:00Z</dcterms:modified>
</cp:coreProperties>
</file>